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A6" w:rsidRDefault="00B32B32" w:rsidP="00B32B32">
      <w:pPr>
        <w:spacing w:after="0"/>
      </w:pP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5760A826" wp14:editId="321F9F7C">
            <wp:simplePos x="0" y="0"/>
            <wp:positionH relativeFrom="column">
              <wp:posOffset>-419100</wp:posOffset>
            </wp:positionH>
            <wp:positionV relativeFrom="paragraph">
              <wp:posOffset>-563880</wp:posOffset>
            </wp:positionV>
            <wp:extent cx="2080260" cy="1080770"/>
            <wp:effectExtent l="0" t="0" r="0" b="508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EACF_logo-1013-RGB-3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0FC7"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 wp14:anchorId="653161A5" wp14:editId="327BEDDB">
            <wp:simplePos x="0" y="0"/>
            <wp:positionH relativeFrom="column">
              <wp:posOffset>3368040</wp:posOffset>
            </wp:positionH>
            <wp:positionV relativeFrom="paragraph">
              <wp:posOffset>-243840</wp:posOffset>
            </wp:positionV>
            <wp:extent cx="2287270" cy="708660"/>
            <wp:effectExtent l="0" t="0" r="0" b="0"/>
            <wp:wrapTight wrapText="bothSides">
              <wp:wrapPolygon edited="0">
                <wp:start x="540" y="4065"/>
                <wp:lineTo x="540" y="16258"/>
                <wp:lineTo x="1079" y="18581"/>
                <wp:lineTo x="20868" y="18581"/>
                <wp:lineTo x="21048" y="17419"/>
                <wp:lineTo x="20868" y="4065"/>
                <wp:lineTo x="540" y="4065"/>
              </wp:wrapPolygon>
            </wp:wrapTight>
            <wp:docPr id="2" name="Image 2" descr="http://cdeacf.ca/sites/default/files/editor/resdac_instit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eacf.ca/sites/default/files/editor/resdac_institu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E6300" w:rsidRDefault="00AE6300" w:rsidP="00AE6300">
      <w:pPr>
        <w:pStyle w:val="Titre2"/>
        <w:jc w:val="right"/>
        <w:rPr>
          <w:b/>
        </w:rPr>
      </w:pPr>
    </w:p>
    <w:p w:rsidR="009B2EA6" w:rsidRPr="00E26460" w:rsidRDefault="00E26460" w:rsidP="00B32B32">
      <w:pPr>
        <w:pStyle w:val="Titre2"/>
        <w:jc w:val="right"/>
        <w:rPr>
          <w:b/>
        </w:rPr>
      </w:pPr>
      <w:r w:rsidRPr="00E26460">
        <w:rPr>
          <w:b/>
        </w:rPr>
        <w:t>COMMUNIQUÉ Pour diffusion immédiate</w:t>
      </w:r>
    </w:p>
    <w:p w:rsidR="00E26460" w:rsidRDefault="00E26460" w:rsidP="00B32B32">
      <w:pPr>
        <w:pStyle w:val="Titre2"/>
        <w:spacing w:line="276" w:lineRule="auto"/>
        <w:jc w:val="center"/>
      </w:pPr>
      <w:r>
        <w:t>La Base de données canadienne en alphabétisation et en éducation des adultes, de nouveau accessible</w:t>
      </w:r>
    </w:p>
    <w:p w:rsidR="00950164" w:rsidRDefault="002B37DC">
      <w:r>
        <w:t>Montréal, le 27 avril 2015</w:t>
      </w:r>
      <w:r w:rsidR="00623E11">
        <w:t xml:space="preserve"> —</w:t>
      </w:r>
      <w:r>
        <w:t xml:space="preserve"> Le Centre de documentation sur l’éducation des adultes et la condition féminine (CD</w:t>
      </w:r>
      <w:r w:rsidR="00623E11">
        <w:t>É</w:t>
      </w:r>
      <w:r>
        <w:t xml:space="preserve">ACF), en collaboration avec le RESDAC et le Centre for </w:t>
      </w:r>
      <w:proofErr w:type="spellStart"/>
      <w:r>
        <w:t>literacy</w:t>
      </w:r>
      <w:proofErr w:type="spellEnd"/>
      <w:r>
        <w:t xml:space="preserve">, est heureux d’annoncer la remise en ligne de la base documentaire bilingue </w:t>
      </w:r>
      <w:r w:rsidR="009B2EA6">
        <w:t xml:space="preserve">en éducation des adultes, </w:t>
      </w:r>
      <w:r>
        <w:t>du défunt organisme canadien COPIAN.</w:t>
      </w:r>
      <w:r w:rsidR="00950164">
        <w:t xml:space="preserve"> Désormais hébergée sur les serveurs du CDÉACF, la base est de nouveau accessible, en anglais et en français.</w:t>
      </w:r>
    </w:p>
    <w:p w:rsidR="00E26460" w:rsidRDefault="009B2EA6">
      <w:r>
        <w:t>Cette base documentaire de p</w:t>
      </w:r>
      <w:r w:rsidR="00AE6300">
        <w:t>rè</w:t>
      </w:r>
      <w:r>
        <w:t xml:space="preserve">s </w:t>
      </w:r>
      <w:r w:rsidR="00AE6300">
        <w:t>de 8</w:t>
      </w:r>
      <w:r w:rsidR="00A414D9">
        <w:t xml:space="preserve">000 ressources </w:t>
      </w:r>
      <w:r w:rsidR="00E26460">
        <w:t xml:space="preserve">en ligne </w:t>
      </w:r>
      <w:r w:rsidR="00A414D9">
        <w:t xml:space="preserve">était maintenue et régulièrement mise à jour par l’équipe de COPIAN (anciennement BDAA), jusqu’à la fin, en 2014, du financement fédéral qui soutenait l’organisme. </w:t>
      </w:r>
      <w:proofErr w:type="spellStart"/>
      <w:r w:rsidR="00E26460">
        <w:t>Préoccupé-es</w:t>
      </w:r>
      <w:proofErr w:type="spellEnd"/>
      <w:r w:rsidR="00E26460">
        <w:t xml:space="preserve"> par </w:t>
      </w:r>
      <w:r w:rsidR="00950164">
        <w:t>l’impact de la</w:t>
      </w:r>
      <w:r w:rsidR="00E26460">
        <w:t xml:space="preserve"> perte de cet outil, consulté par des milliers de personne</w:t>
      </w:r>
      <w:r w:rsidR="00623E11">
        <w:t xml:space="preserve">s </w:t>
      </w:r>
      <w:r w:rsidR="00E26460">
        <w:t>au Canada et de par le monde, le CDÉACF, le RESDAC et le C</w:t>
      </w:r>
      <w:r w:rsidR="00950164">
        <w:t xml:space="preserve">entre for </w:t>
      </w:r>
      <w:proofErr w:type="spellStart"/>
      <w:r w:rsidR="00950164">
        <w:t>literacy</w:t>
      </w:r>
      <w:proofErr w:type="spellEnd"/>
      <w:r w:rsidR="00E26460">
        <w:t xml:space="preserve"> ont travaillé avec COPIAN pour </w:t>
      </w:r>
      <w:r w:rsidR="00950164">
        <w:t xml:space="preserve">en </w:t>
      </w:r>
      <w:r w:rsidR="00E26460">
        <w:t xml:space="preserve">assurer </w:t>
      </w:r>
      <w:r w:rsidR="00950164">
        <w:t>l</w:t>
      </w:r>
      <w:r w:rsidR="00E26460">
        <w:t>a survie malgré la fermeture de l’organisme. « </w:t>
      </w:r>
      <w:r w:rsidR="00E26460">
        <w:t xml:space="preserve">Pendant plus de 25 ans, </w:t>
      </w:r>
      <w:proofErr w:type="spellStart"/>
      <w:r w:rsidR="00E26460">
        <w:t>Copian</w:t>
      </w:r>
      <w:proofErr w:type="spellEnd"/>
      <w:r w:rsidR="00E26460">
        <w:t xml:space="preserve"> a été une voix bilingue et nationale pour l</w:t>
      </w:r>
      <w:r w:rsidR="00623E11">
        <w:t>’</w:t>
      </w:r>
      <w:r w:rsidR="00E26460">
        <w:t>alphabétisation, branchant les adultes en formation, les organismes, les bailleurs de fonds et les praticiens sur les dernières informations au sujet de l</w:t>
      </w:r>
      <w:r w:rsidR="00623E11">
        <w:t>’</w:t>
      </w:r>
      <w:r w:rsidR="00E26460">
        <w:t>alphabétisation et</w:t>
      </w:r>
      <w:r w:rsidR="00E26460">
        <w:t xml:space="preserve"> des compétences essentielles. </w:t>
      </w:r>
      <w:r w:rsidR="00E26460">
        <w:t xml:space="preserve">Si nous sommes tristes de devoir dissoudre notre organisme, nous nous réjouissons toutefois de savoir que notre atout principal, la bibliothèque de </w:t>
      </w:r>
      <w:proofErr w:type="spellStart"/>
      <w:r w:rsidR="00E26460">
        <w:t>Copian</w:t>
      </w:r>
      <w:proofErr w:type="spellEnd"/>
      <w:r w:rsidR="00E26460">
        <w:t xml:space="preserve">, a été transféré au CDÉACF, en partenariat avec le RESDAC et le Centre for </w:t>
      </w:r>
      <w:proofErr w:type="spellStart"/>
      <w:r w:rsidR="00E26460">
        <w:t>Literacy</w:t>
      </w:r>
      <w:proofErr w:type="spellEnd"/>
      <w:r w:rsidR="00E26460">
        <w:t xml:space="preserve"> » a déclaré Anna </w:t>
      </w:r>
      <w:proofErr w:type="spellStart"/>
      <w:r w:rsidR="00E26460">
        <w:t>Kae</w:t>
      </w:r>
      <w:proofErr w:type="spellEnd"/>
      <w:r w:rsidR="00E26460">
        <w:t xml:space="preserve"> </w:t>
      </w:r>
      <w:proofErr w:type="spellStart"/>
      <w:r w:rsidR="00E26460">
        <w:t>McIvor</w:t>
      </w:r>
      <w:proofErr w:type="spellEnd"/>
      <w:r w:rsidR="00E26460">
        <w:t xml:space="preserve">-Todd, </w:t>
      </w:r>
      <w:r w:rsidR="00E26460">
        <w:t xml:space="preserve">Présidente du conseil de </w:t>
      </w:r>
      <w:proofErr w:type="spellStart"/>
      <w:r w:rsidR="00E26460">
        <w:t>Copian</w:t>
      </w:r>
      <w:proofErr w:type="spellEnd"/>
      <w:r w:rsidR="00E26460">
        <w:t>.</w:t>
      </w:r>
    </w:p>
    <w:p w:rsidR="00AD4407" w:rsidRDefault="00950164">
      <w:r>
        <w:t>« Il était impensable de laisser disparaître</w:t>
      </w:r>
      <w:r w:rsidR="006F70E7">
        <w:t xml:space="preserve"> toutes ces précieuses ressources</w:t>
      </w:r>
      <w:r>
        <w:t>, c’est pourquoi nous avons rapidement entrepris les démarches</w:t>
      </w:r>
      <w:r w:rsidR="006F70E7">
        <w:t xml:space="preserve"> et offert notre soutien</w:t>
      </w:r>
      <w:r>
        <w:t xml:space="preserve"> pour que leur transfert au CDÉACF soit</w:t>
      </w:r>
      <w:r w:rsidR="006F70E7">
        <w:t xml:space="preserve"> </w:t>
      </w:r>
      <w:r>
        <w:t>possible »</w:t>
      </w:r>
      <w:r w:rsidR="00623E11">
        <w:t xml:space="preserve">, </w:t>
      </w:r>
      <w:r>
        <w:t>a pour sa part affirmé Normand Lévesque, directeur général du RESDAC.</w:t>
      </w:r>
      <w:r w:rsidR="006F70E7">
        <w:t xml:space="preserve"> Le CDÉACF a lui-même une bibliothèque virtuelle de plus de </w:t>
      </w:r>
      <w:r w:rsidR="00AE6300">
        <w:t>7500</w:t>
      </w:r>
      <w:r w:rsidR="00AD4407">
        <w:t xml:space="preserve"> documents et un catalogue</w:t>
      </w:r>
      <w:r w:rsidR="00623E11">
        <w:t xml:space="preserve"> complet</w:t>
      </w:r>
      <w:r w:rsidR="00AD4407">
        <w:t xml:space="preserve"> de </w:t>
      </w:r>
      <w:r w:rsidR="00623E11">
        <w:t>30 000</w:t>
      </w:r>
      <w:r w:rsidR="00AD4407">
        <w:t xml:space="preserve"> titres. « </w:t>
      </w:r>
      <w:proofErr w:type="spellStart"/>
      <w:r w:rsidR="00AD4407">
        <w:t>Copian</w:t>
      </w:r>
      <w:proofErr w:type="spellEnd"/>
      <w:r w:rsidR="00AD4407">
        <w:t xml:space="preserve"> était un partenaire apprécié du CDÉACF qui jouait un rôle important au Canada, nous sommes heureux de pouvoir assurer la survie de leur base documentaire »</w:t>
      </w:r>
      <w:r w:rsidR="00623E11">
        <w:t xml:space="preserve">, </w:t>
      </w:r>
      <w:r w:rsidR="00AD4407">
        <w:t>renchérit Geneviève Dorais-Beauregard, directrice générale du CDÉACF. « Ayant nous aussi été touchés par les coupures du fédéral, il nous est pour le moment impossible de continuer à nourrir la base de nouvelles ressources. Nous travaillons cependant avec différents partenaires du secteur pour trouver une solution à plus long terme</w:t>
      </w:r>
      <w:r w:rsidR="00AE6300">
        <w:t> »</w:t>
      </w:r>
      <w:r w:rsidR="00623E11">
        <w:t>, c</w:t>
      </w:r>
      <w:r w:rsidR="00AE6300">
        <w:t>omplète la directrice du CDÉACF.</w:t>
      </w:r>
    </w:p>
    <w:p w:rsidR="00B32B32" w:rsidRDefault="00AE6300">
      <w:r>
        <w:t>Le CDÉACF s’est engagé</w:t>
      </w:r>
      <w:r>
        <w:t xml:space="preserve"> à garder le nom </w:t>
      </w:r>
      <w:proofErr w:type="spellStart"/>
      <w:r>
        <w:t>Copian</w:t>
      </w:r>
      <w:proofErr w:type="spellEnd"/>
      <w:r>
        <w:t xml:space="preserve"> pendant au moins un an pour que la base soit reconnaissable </w:t>
      </w:r>
      <w:r>
        <w:t>et que la mémoire de COPIAN soit préservée. Les adresses copian.ca, bibliotheque.copian.ca et library.copian.ca sont également toujours actifs.</w:t>
      </w:r>
      <w:r w:rsidR="00623E11">
        <w:t xml:space="preserve"> </w:t>
      </w:r>
    </w:p>
    <w:p w:rsidR="00B32B32" w:rsidRDefault="00B32B32" w:rsidP="00B32B32">
      <w:pPr>
        <w:jc w:val="center"/>
      </w:pPr>
      <w:r>
        <w:t>-30</w:t>
      </w:r>
      <w:r w:rsidR="00623E11">
        <w:t xml:space="preserve"> —</w:t>
      </w:r>
    </w:p>
    <w:p w:rsidR="00B32B32" w:rsidRDefault="00B32B32">
      <w:r>
        <w:t xml:space="preserve">Informations : Sharon </w:t>
      </w:r>
      <w:proofErr w:type="spellStart"/>
      <w:r>
        <w:t>Hackett</w:t>
      </w:r>
      <w:proofErr w:type="spellEnd"/>
      <w:r>
        <w:t>, coordonnatrice des services documentaires, CDÉACF, 514 876-1180 #1206</w:t>
      </w:r>
      <w:r w:rsidR="00623E11">
        <w:t>, hackett@cdeacf.ca</w:t>
      </w:r>
    </w:p>
    <w:p w:rsidR="00B32B32" w:rsidRDefault="00B32B32">
      <w:r>
        <w:t xml:space="preserve">Pour plus d’information sur le CDÉACF : </w:t>
      </w:r>
      <w:hyperlink r:id="rId10" w:history="1">
        <w:r w:rsidRPr="003B16E8">
          <w:rPr>
            <w:rStyle w:val="Lienhypertexte"/>
          </w:rPr>
          <w:t>www.cdeacf.ca</w:t>
        </w:r>
      </w:hyperlink>
      <w:r>
        <w:t xml:space="preserve">, sur le RESDAC : </w:t>
      </w:r>
      <w:hyperlink r:id="rId11" w:history="1">
        <w:r w:rsidRPr="003B16E8">
          <w:rPr>
            <w:rStyle w:val="Lienhypertexte"/>
          </w:rPr>
          <w:t>www.resdac.net</w:t>
        </w:r>
      </w:hyperlink>
      <w:r>
        <w:t xml:space="preserve"> et sur le Centre for </w:t>
      </w:r>
      <w:proofErr w:type="spellStart"/>
      <w:r>
        <w:t>literacy</w:t>
      </w:r>
      <w:proofErr w:type="spellEnd"/>
      <w:r>
        <w:t>,</w:t>
      </w:r>
      <w:r w:rsidRPr="00B32B32">
        <w:t xml:space="preserve"> </w:t>
      </w:r>
      <w:hyperlink r:id="rId12" w:history="1">
        <w:r w:rsidRPr="003B16E8">
          <w:rPr>
            <w:rStyle w:val="Lienhypertexte"/>
          </w:rPr>
          <w:t>www.centreforliteracy.qc.c</w:t>
        </w:r>
        <w:bookmarkStart w:id="0" w:name="_GoBack"/>
        <w:bookmarkEnd w:id="0"/>
        <w:r w:rsidRPr="003B16E8">
          <w:rPr>
            <w:rStyle w:val="Lienhypertexte"/>
          </w:rPr>
          <w:t>a</w:t>
        </w:r>
      </w:hyperlink>
      <w:r>
        <w:t xml:space="preserve"> </w:t>
      </w:r>
    </w:p>
    <w:sectPr w:rsidR="00B32B3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D23" w:rsidRDefault="00690D23" w:rsidP="00623E11">
      <w:pPr>
        <w:spacing w:after="0" w:line="240" w:lineRule="auto"/>
      </w:pPr>
      <w:r>
        <w:separator/>
      </w:r>
    </w:p>
  </w:endnote>
  <w:endnote w:type="continuationSeparator" w:id="0">
    <w:p w:rsidR="00690D23" w:rsidRDefault="00690D23" w:rsidP="0062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E11" w:rsidRDefault="00623E1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E11" w:rsidRDefault="00623E1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E11" w:rsidRDefault="00623E1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D23" w:rsidRDefault="00690D23" w:rsidP="00623E11">
      <w:pPr>
        <w:spacing w:after="0" w:line="240" w:lineRule="auto"/>
      </w:pPr>
      <w:r>
        <w:separator/>
      </w:r>
    </w:p>
  </w:footnote>
  <w:footnote w:type="continuationSeparator" w:id="0">
    <w:p w:rsidR="00690D23" w:rsidRDefault="00690D23" w:rsidP="00623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E11" w:rsidRDefault="00623E1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E11" w:rsidRDefault="00623E1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E11" w:rsidRDefault="00623E1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DC"/>
    <w:rsid w:val="00110FC7"/>
    <w:rsid w:val="002B37DC"/>
    <w:rsid w:val="00623E11"/>
    <w:rsid w:val="00690D23"/>
    <w:rsid w:val="006F70E7"/>
    <w:rsid w:val="00950164"/>
    <w:rsid w:val="009B2EA6"/>
    <w:rsid w:val="00A414D9"/>
    <w:rsid w:val="00A61FB6"/>
    <w:rsid w:val="00AD4407"/>
    <w:rsid w:val="00AE6300"/>
    <w:rsid w:val="00B206E6"/>
    <w:rsid w:val="00B32B32"/>
    <w:rsid w:val="00E2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CDEACF"/>
    <w:qFormat/>
    <w:rsid w:val="00E26460"/>
    <w:pPr>
      <w:spacing w:after="240" w:line="230" w:lineRule="auto"/>
    </w:pPr>
    <w:rPr>
      <w:rFonts w:ascii="Century Gothic" w:hAnsi="Century Gothic"/>
      <w:szCs w:val="22"/>
    </w:rPr>
  </w:style>
  <w:style w:type="paragraph" w:styleId="Titre1">
    <w:name w:val="heading 1"/>
    <w:aliases w:val="Titre 1 CDÉACF"/>
    <w:next w:val="Sous-titre"/>
    <w:link w:val="Titre1Car"/>
    <w:uiPriority w:val="9"/>
    <w:qFormat/>
    <w:rsid w:val="00E26460"/>
    <w:pPr>
      <w:keepNext/>
      <w:spacing w:after="480" w:line="440" w:lineRule="auto"/>
      <w:outlineLvl w:val="0"/>
    </w:pPr>
    <w:rPr>
      <w:rFonts w:ascii="Century Gothic" w:eastAsia="Times New Roman" w:hAnsi="Century Gothic"/>
      <w:bCs/>
      <w:caps/>
      <w:color w:val="253746"/>
      <w:kern w:val="32"/>
      <w:sz w:val="42"/>
      <w:szCs w:val="32"/>
    </w:rPr>
  </w:style>
  <w:style w:type="paragraph" w:styleId="Titre2">
    <w:name w:val="heading 2"/>
    <w:aliases w:val="Sous-titre 1 CDEACF"/>
    <w:next w:val="Normal"/>
    <w:link w:val="Titre2Car"/>
    <w:uiPriority w:val="9"/>
    <w:unhideWhenUsed/>
    <w:qFormat/>
    <w:rsid w:val="00E26460"/>
    <w:pPr>
      <w:keepNext/>
      <w:spacing w:after="240" w:line="330" w:lineRule="auto"/>
      <w:outlineLvl w:val="1"/>
    </w:pPr>
    <w:rPr>
      <w:rFonts w:ascii="Century Gothic" w:eastAsia="Times New Roman" w:hAnsi="Century Gothic"/>
      <w:bCs/>
      <w:iCs/>
      <w:color w:val="253746"/>
      <w:sz w:val="30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1 CDÉACF Car"/>
    <w:link w:val="Titre1"/>
    <w:uiPriority w:val="9"/>
    <w:rsid w:val="00E26460"/>
    <w:rPr>
      <w:rFonts w:ascii="Century Gothic" w:eastAsia="Times New Roman" w:hAnsi="Century Gothic"/>
      <w:bCs/>
      <w:caps/>
      <w:color w:val="253746"/>
      <w:kern w:val="32"/>
      <w:sz w:val="42"/>
      <w:szCs w:val="32"/>
    </w:rPr>
  </w:style>
  <w:style w:type="paragraph" w:styleId="Sous-titre">
    <w:name w:val="Subtitle"/>
    <w:aliases w:val="Sous-titre 2 CDEACF"/>
    <w:next w:val="Normal"/>
    <w:link w:val="Sous-titreCar"/>
    <w:uiPriority w:val="11"/>
    <w:qFormat/>
    <w:rsid w:val="00E26460"/>
    <w:pPr>
      <w:spacing w:after="240" w:line="290" w:lineRule="auto"/>
      <w:outlineLvl w:val="1"/>
    </w:pPr>
    <w:rPr>
      <w:rFonts w:ascii="Century Gothic" w:eastAsiaTheme="majorEastAsia" w:hAnsi="Century Gothic" w:cstheme="majorBidi"/>
      <w:caps/>
      <w:sz w:val="26"/>
      <w:szCs w:val="24"/>
    </w:rPr>
  </w:style>
  <w:style w:type="character" w:customStyle="1" w:styleId="Sous-titreCar">
    <w:name w:val="Sous-titre Car"/>
    <w:aliases w:val="Sous-titre 2 CDEACF Car"/>
    <w:link w:val="Sous-titre"/>
    <w:uiPriority w:val="11"/>
    <w:rsid w:val="00E26460"/>
    <w:rPr>
      <w:rFonts w:ascii="Century Gothic" w:eastAsiaTheme="majorEastAsia" w:hAnsi="Century Gothic" w:cstheme="majorBidi"/>
      <w:caps/>
      <w:sz w:val="26"/>
      <w:szCs w:val="24"/>
    </w:rPr>
  </w:style>
  <w:style w:type="character" w:customStyle="1" w:styleId="Titre2Car">
    <w:name w:val="Titre 2 Car"/>
    <w:aliases w:val="Sous-titre 1 CDEACF Car"/>
    <w:link w:val="Titre2"/>
    <w:uiPriority w:val="9"/>
    <w:rsid w:val="00E26460"/>
    <w:rPr>
      <w:rFonts w:ascii="Century Gothic" w:eastAsia="Times New Roman" w:hAnsi="Century Gothic"/>
      <w:bCs/>
      <w:iCs/>
      <w:color w:val="253746"/>
      <w:sz w:val="30"/>
      <w:szCs w:val="28"/>
    </w:rPr>
  </w:style>
  <w:style w:type="paragraph" w:styleId="Paragraphedeliste">
    <w:name w:val="List Paragraph"/>
    <w:basedOn w:val="Normal"/>
    <w:uiPriority w:val="34"/>
    <w:qFormat/>
    <w:rsid w:val="00E26460"/>
  </w:style>
  <w:style w:type="character" w:styleId="Rfrenceple">
    <w:name w:val="Subtle Reference"/>
    <w:aliases w:val="Hyperlien"/>
    <w:uiPriority w:val="31"/>
    <w:qFormat/>
    <w:rsid w:val="00E26460"/>
    <w:rPr>
      <w:rFonts w:ascii="Century Gothic" w:hAnsi="Century Gothic"/>
      <w:b w:val="0"/>
      <w:i w:val="0"/>
      <w:caps w:val="0"/>
      <w:smallCaps w:val="0"/>
      <w:color w:val="0000FF"/>
      <w:sz w:val="2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0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0FC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32B3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23E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3E11"/>
    <w:rPr>
      <w:rFonts w:ascii="Century Gothic" w:hAnsi="Century Gothic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623E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3E11"/>
    <w:rPr>
      <w:rFonts w:ascii="Century Gothic" w:hAnsi="Century Gothic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CDEACF"/>
    <w:qFormat/>
    <w:rsid w:val="00E26460"/>
    <w:pPr>
      <w:spacing w:after="240" w:line="230" w:lineRule="auto"/>
    </w:pPr>
    <w:rPr>
      <w:rFonts w:ascii="Century Gothic" w:hAnsi="Century Gothic"/>
      <w:szCs w:val="22"/>
    </w:rPr>
  </w:style>
  <w:style w:type="paragraph" w:styleId="Titre1">
    <w:name w:val="heading 1"/>
    <w:aliases w:val="Titre 1 CDÉACF"/>
    <w:next w:val="Sous-titre"/>
    <w:link w:val="Titre1Car"/>
    <w:uiPriority w:val="9"/>
    <w:qFormat/>
    <w:rsid w:val="00E26460"/>
    <w:pPr>
      <w:keepNext/>
      <w:spacing w:after="480" w:line="440" w:lineRule="auto"/>
      <w:outlineLvl w:val="0"/>
    </w:pPr>
    <w:rPr>
      <w:rFonts w:ascii="Century Gothic" w:eastAsia="Times New Roman" w:hAnsi="Century Gothic"/>
      <w:bCs/>
      <w:caps/>
      <w:color w:val="253746"/>
      <w:kern w:val="32"/>
      <w:sz w:val="42"/>
      <w:szCs w:val="32"/>
    </w:rPr>
  </w:style>
  <w:style w:type="paragraph" w:styleId="Titre2">
    <w:name w:val="heading 2"/>
    <w:aliases w:val="Sous-titre 1 CDEACF"/>
    <w:next w:val="Normal"/>
    <w:link w:val="Titre2Car"/>
    <w:uiPriority w:val="9"/>
    <w:unhideWhenUsed/>
    <w:qFormat/>
    <w:rsid w:val="00E26460"/>
    <w:pPr>
      <w:keepNext/>
      <w:spacing w:after="240" w:line="330" w:lineRule="auto"/>
      <w:outlineLvl w:val="1"/>
    </w:pPr>
    <w:rPr>
      <w:rFonts w:ascii="Century Gothic" w:eastAsia="Times New Roman" w:hAnsi="Century Gothic"/>
      <w:bCs/>
      <w:iCs/>
      <w:color w:val="253746"/>
      <w:sz w:val="30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1 CDÉACF Car"/>
    <w:link w:val="Titre1"/>
    <w:uiPriority w:val="9"/>
    <w:rsid w:val="00E26460"/>
    <w:rPr>
      <w:rFonts w:ascii="Century Gothic" w:eastAsia="Times New Roman" w:hAnsi="Century Gothic"/>
      <w:bCs/>
      <w:caps/>
      <w:color w:val="253746"/>
      <w:kern w:val="32"/>
      <w:sz w:val="42"/>
      <w:szCs w:val="32"/>
    </w:rPr>
  </w:style>
  <w:style w:type="paragraph" w:styleId="Sous-titre">
    <w:name w:val="Subtitle"/>
    <w:aliases w:val="Sous-titre 2 CDEACF"/>
    <w:next w:val="Normal"/>
    <w:link w:val="Sous-titreCar"/>
    <w:uiPriority w:val="11"/>
    <w:qFormat/>
    <w:rsid w:val="00E26460"/>
    <w:pPr>
      <w:spacing w:after="240" w:line="290" w:lineRule="auto"/>
      <w:outlineLvl w:val="1"/>
    </w:pPr>
    <w:rPr>
      <w:rFonts w:ascii="Century Gothic" w:eastAsiaTheme="majorEastAsia" w:hAnsi="Century Gothic" w:cstheme="majorBidi"/>
      <w:caps/>
      <w:sz w:val="26"/>
      <w:szCs w:val="24"/>
    </w:rPr>
  </w:style>
  <w:style w:type="character" w:customStyle="1" w:styleId="Sous-titreCar">
    <w:name w:val="Sous-titre Car"/>
    <w:aliases w:val="Sous-titre 2 CDEACF Car"/>
    <w:link w:val="Sous-titre"/>
    <w:uiPriority w:val="11"/>
    <w:rsid w:val="00E26460"/>
    <w:rPr>
      <w:rFonts w:ascii="Century Gothic" w:eastAsiaTheme="majorEastAsia" w:hAnsi="Century Gothic" w:cstheme="majorBidi"/>
      <w:caps/>
      <w:sz w:val="26"/>
      <w:szCs w:val="24"/>
    </w:rPr>
  </w:style>
  <w:style w:type="character" w:customStyle="1" w:styleId="Titre2Car">
    <w:name w:val="Titre 2 Car"/>
    <w:aliases w:val="Sous-titre 1 CDEACF Car"/>
    <w:link w:val="Titre2"/>
    <w:uiPriority w:val="9"/>
    <w:rsid w:val="00E26460"/>
    <w:rPr>
      <w:rFonts w:ascii="Century Gothic" w:eastAsia="Times New Roman" w:hAnsi="Century Gothic"/>
      <w:bCs/>
      <w:iCs/>
      <w:color w:val="253746"/>
      <w:sz w:val="30"/>
      <w:szCs w:val="28"/>
    </w:rPr>
  </w:style>
  <w:style w:type="paragraph" w:styleId="Paragraphedeliste">
    <w:name w:val="List Paragraph"/>
    <w:basedOn w:val="Normal"/>
    <w:uiPriority w:val="34"/>
    <w:qFormat/>
    <w:rsid w:val="00E26460"/>
  </w:style>
  <w:style w:type="character" w:styleId="Rfrenceple">
    <w:name w:val="Subtle Reference"/>
    <w:aliases w:val="Hyperlien"/>
    <w:uiPriority w:val="31"/>
    <w:qFormat/>
    <w:rsid w:val="00E26460"/>
    <w:rPr>
      <w:rFonts w:ascii="Century Gothic" w:hAnsi="Century Gothic"/>
      <w:b w:val="0"/>
      <w:i w:val="0"/>
      <w:caps w:val="0"/>
      <w:smallCaps w:val="0"/>
      <w:color w:val="0000FF"/>
      <w:sz w:val="2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0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0FC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32B3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23E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3E11"/>
    <w:rPr>
      <w:rFonts w:ascii="Century Gothic" w:hAnsi="Century Gothic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623E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3E11"/>
    <w:rPr>
      <w:rFonts w:ascii="Century Gothic" w:hAnsi="Century Gothic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entreforliteracy.qc.ca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sdac.ne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deacf.c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775BA-ADF3-4F32-9A95-7B5D9FF1A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dorais</dc:creator>
  <cp:lastModifiedBy>dorais</cp:lastModifiedBy>
  <cp:revision>3</cp:revision>
  <dcterms:created xsi:type="dcterms:W3CDTF">2015-04-27T18:24:00Z</dcterms:created>
  <dcterms:modified xsi:type="dcterms:W3CDTF">2015-04-27T20:34:00Z</dcterms:modified>
</cp:coreProperties>
</file>