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8F" w:rsidRDefault="00F55B70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-423545</wp:posOffset>
            </wp:positionV>
            <wp:extent cx="2089150" cy="1085850"/>
            <wp:effectExtent l="0" t="0" r="635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A8F" w:rsidRPr="009708AA" w:rsidRDefault="00500819" w:rsidP="00500819">
      <w:pPr>
        <w:pStyle w:val="Titre2"/>
        <w:jc w:val="right"/>
        <w:rPr>
          <w:b/>
        </w:rPr>
      </w:pPr>
      <w:r w:rsidRPr="009708AA">
        <w:rPr>
          <w:b/>
        </w:rPr>
        <w:t>COMMUNIQUÉ</w:t>
      </w:r>
    </w:p>
    <w:p w:rsidR="00CB0A8F" w:rsidRPr="009708AA" w:rsidRDefault="009B20D8" w:rsidP="009708AA">
      <w:pPr>
        <w:spacing w:before="360" w:after="360"/>
        <w:rPr>
          <w:b/>
          <w:sz w:val="28"/>
        </w:rPr>
      </w:pPr>
      <w:r>
        <w:rPr>
          <w:b/>
          <w:sz w:val="28"/>
        </w:rPr>
        <w:t>Compressions : l</w:t>
      </w:r>
      <w:r w:rsidR="007B6EDE" w:rsidRPr="009708AA">
        <w:rPr>
          <w:b/>
          <w:sz w:val="28"/>
        </w:rPr>
        <w:t xml:space="preserve">e CDÉACF obligé de réduire ses services et </w:t>
      </w:r>
      <w:r w:rsidR="00F55B70" w:rsidRPr="009708AA">
        <w:rPr>
          <w:b/>
          <w:sz w:val="28"/>
        </w:rPr>
        <w:t>heures d’ouverture</w:t>
      </w:r>
      <w:r w:rsidR="00591319" w:rsidRPr="009708AA">
        <w:rPr>
          <w:b/>
          <w:sz w:val="28"/>
        </w:rPr>
        <w:t>, malgré la demande</w:t>
      </w:r>
    </w:p>
    <w:p w:rsidR="00E57608" w:rsidRDefault="00500819">
      <w:r w:rsidRPr="00523EB6">
        <w:rPr>
          <w:b/>
        </w:rPr>
        <w:t xml:space="preserve">Montréal, le </w:t>
      </w:r>
      <w:r w:rsidR="00DC504B">
        <w:rPr>
          <w:b/>
        </w:rPr>
        <w:t>5</w:t>
      </w:r>
      <w:r w:rsidRPr="00523EB6">
        <w:rPr>
          <w:b/>
        </w:rPr>
        <w:t xml:space="preserve"> août 2015</w:t>
      </w:r>
      <w:r>
        <w:t xml:space="preserve"> - </w:t>
      </w:r>
      <w:r w:rsidR="00E57608">
        <w:t>Le Centre de documentation sur l’éducation des adultes et la condition féminine (CDÉACF) doit se résoudre à procéder à des réductions de services c</w:t>
      </w:r>
      <w:r w:rsidR="00F55B70">
        <w:t>onséquemment aux compress</w:t>
      </w:r>
      <w:r w:rsidR="00E57608">
        <w:t>ions budgétaires qui ont frappé l’organisme depuis les deux dernières années.</w:t>
      </w:r>
    </w:p>
    <w:p w:rsidR="008F7C24" w:rsidRPr="00500819" w:rsidRDefault="00091584">
      <w:pPr>
        <w:rPr>
          <w:b/>
        </w:rPr>
      </w:pPr>
      <w:r>
        <w:t>Le CD</w:t>
      </w:r>
      <w:r w:rsidR="008F7C24">
        <w:t>ÉAC</w:t>
      </w:r>
      <w:r>
        <w:t>F a été fortement touché l’an dernier par la fin du financement des groupes nationaux par le Bureau de l’</w:t>
      </w:r>
      <w:r w:rsidR="0011634C">
        <w:t>a</w:t>
      </w:r>
      <w:r>
        <w:t xml:space="preserve">lphabétisation et des compétences essentielles (BACE) du gouvernement fédéral. </w:t>
      </w:r>
      <w:r w:rsidRPr="00500819">
        <w:rPr>
          <w:b/>
        </w:rPr>
        <w:t xml:space="preserve">« La gestion rigoureuse et créative de la direction et du conseil d’administration a permis au CDÉACF de traverser la dernière année avec peu de coupures de services, mais </w:t>
      </w:r>
      <w:r w:rsidR="008F7C24" w:rsidRPr="00500819">
        <w:rPr>
          <w:b/>
        </w:rPr>
        <w:t>devant les grandes difficultés financières qui touchent l’ensemble des organismes communautaires, nous n’avons plus d’autres options et devons faire des compressions »</w:t>
      </w:r>
      <w:r w:rsidR="008F7C24">
        <w:t xml:space="preserve"> </w:t>
      </w:r>
      <w:r w:rsidR="008F7C24" w:rsidRPr="00500819">
        <w:rPr>
          <w:b/>
        </w:rPr>
        <w:t xml:space="preserve">a </w:t>
      </w:r>
      <w:r w:rsidR="001313EB" w:rsidRPr="00500819">
        <w:rPr>
          <w:b/>
        </w:rPr>
        <w:t>déclaré</w:t>
      </w:r>
      <w:r w:rsidR="008F7C24" w:rsidRPr="00500819">
        <w:rPr>
          <w:b/>
        </w:rPr>
        <w:t xml:space="preserve"> Rita Cummings, présidente du conseil d’administration de l’organisme. </w:t>
      </w:r>
    </w:p>
    <w:p w:rsidR="002469F9" w:rsidRPr="00500819" w:rsidRDefault="00536F45">
      <w:pPr>
        <w:rPr>
          <w:b/>
        </w:rPr>
      </w:pPr>
      <w:r>
        <w:t>Le CDÉACF comptera sur une équipe réduite de 8 personnes en septembre 2015 alors qu’elle était de</w:t>
      </w:r>
      <w:r w:rsidR="0011634C">
        <w:t xml:space="preserve"> 1</w:t>
      </w:r>
      <w:r>
        <w:t>3 employé-es en avril 2014</w:t>
      </w:r>
      <w:r w:rsidR="00523EB6">
        <w:t xml:space="preserve"> et de 1</w:t>
      </w:r>
      <w:r w:rsidR="00D00B1F">
        <w:t>6</w:t>
      </w:r>
      <w:r w:rsidR="00523EB6">
        <w:t xml:space="preserve"> personnes en 2011</w:t>
      </w:r>
      <w:r w:rsidR="000621E3">
        <w:t>.</w:t>
      </w:r>
      <w:r w:rsidR="002469F9">
        <w:t xml:space="preserve"> </w:t>
      </w:r>
      <w:r w:rsidR="00D00B1F">
        <w:t xml:space="preserve">L’organisme, qui est en attente d’une réponse du </w:t>
      </w:r>
      <w:r w:rsidR="00D00B1F" w:rsidRPr="00523EB6">
        <w:t>ministère de l’É</w:t>
      </w:r>
      <w:r w:rsidR="00D00B1F">
        <w:t>ducation</w:t>
      </w:r>
      <w:r w:rsidR="006E76F0">
        <w:t>,</w:t>
      </w:r>
      <w:r w:rsidR="00D00B1F">
        <w:t xml:space="preserve"> </w:t>
      </w:r>
      <w:r w:rsidR="00D00B1F" w:rsidRPr="00523EB6">
        <w:t>de l’Enseignement supérieur</w:t>
      </w:r>
      <w:r w:rsidR="00D00B1F">
        <w:t xml:space="preserve"> et de la R</w:t>
      </w:r>
      <w:r w:rsidR="00D00B1F" w:rsidRPr="00523EB6">
        <w:t>echerche (MEE</w:t>
      </w:r>
      <w:r w:rsidR="004A71AC">
        <w:t>SR</w:t>
      </w:r>
      <w:r w:rsidR="00D00B1F" w:rsidRPr="00523EB6">
        <w:t xml:space="preserve">) à </w:t>
      </w:r>
      <w:r w:rsidR="00D00B1F">
        <w:t>une</w:t>
      </w:r>
      <w:r w:rsidR="00D00B1F" w:rsidRPr="00523EB6">
        <w:t xml:space="preserve"> demande de renouvellement d</w:t>
      </w:r>
      <w:r w:rsidR="00D00B1F">
        <w:t>e</w:t>
      </w:r>
      <w:r w:rsidR="00D00B1F" w:rsidRPr="00523EB6">
        <w:t xml:space="preserve"> financement pour 2015-</w:t>
      </w:r>
      <w:r w:rsidR="00D00B1F" w:rsidRPr="00D00B1F">
        <w:t>2016</w:t>
      </w:r>
      <w:r w:rsidR="00D00B1F">
        <w:t>,</w:t>
      </w:r>
      <w:r w:rsidR="00D00B1F" w:rsidRPr="00D00B1F">
        <w:t xml:space="preserve"> espère </w:t>
      </w:r>
      <w:r w:rsidR="00D00B1F">
        <w:t>ne pas avoir à procéder à des</w:t>
      </w:r>
      <w:r w:rsidR="00D00B1F" w:rsidRPr="00D00B1F">
        <w:t xml:space="preserve"> compressions</w:t>
      </w:r>
      <w:r w:rsidR="00D00B1F">
        <w:rPr>
          <w:b/>
        </w:rPr>
        <w:t xml:space="preserve"> </w:t>
      </w:r>
      <w:r w:rsidR="00D00B1F">
        <w:t xml:space="preserve">supplémentaires </w:t>
      </w:r>
      <w:r w:rsidR="002469F9" w:rsidRPr="00523EB6">
        <w:t>à l’</w:t>
      </w:r>
      <w:r w:rsidR="00500819" w:rsidRPr="00523EB6">
        <w:t>automne</w:t>
      </w:r>
      <w:r w:rsidR="00D00B1F">
        <w:t xml:space="preserve">. </w:t>
      </w:r>
      <w:r w:rsidR="006E76F0">
        <w:t xml:space="preserve"> </w:t>
      </w:r>
      <w:r w:rsidR="0011634C">
        <w:rPr>
          <w:b/>
        </w:rPr>
        <w:t>« L</w:t>
      </w:r>
      <w:r w:rsidR="002469F9" w:rsidRPr="00500819">
        <w:rPr>
          <w:b/>
        </w:rPr>
        <w:t>e MEE</w:t>
      </w:r>
      <w:r w:rsidR="009B20D8">
        <w:rPr>
          <w:b/>
        </w:rPr>
        <w:t xml:space="preserve">SR </w:t>
      </w:r>
      <w:bookmarkStart w:id="0" w:name="_GoBack"/>
      <w:bookmarkEnd w:id="0"/>
      <w:r w:rsidR="002469F9" w:rsidRPr="00500819">
        <w:rPr>
          <w:b/>
        </w:rPr>
        <w:t>nous a bien fait comprendre qu’il ne compenserait pas le retrait du fédéral et n’a pas voulu garantir non plus qu’il renouvellera l’ensemble des</w:t>
      </w:r>
      <w:r w:rsidR="00D00B1F">
        <w:rPr>
          <w:b/>
        </w:rPr>
        <w:t xml:space="preserve"> sommes </w:t>
      </w:r>
      <w:r w:rsidR="002469F9" w:rsidRPr="00500819">
        <w:rPr>
          <w:b/>
        </w:rPr>
        <w:t>qu’il octroie au CDÉACF depuis plusieurs années</w:t>
      </w:r>
      <w:r w:rsidR="00D00B1F">
        <w:rPr>
          <w:b/>
        </w:rPr>
        <w:t>. La majeure partie de notre financement provient d’un fonds non récurrent, malgré que la pertinence et l’importance des services qu’il finance ai</w:t>
      </w:r>
      <w:r w:rsidR="009B20D8">
        <w:rPr>
          <w:b/>
        </w:rPr>
        <w:t>en</w:t>
      </w:r>
      <w:r w:rsidR="00D00B1F">
        <w:rPr>
          <w:b/>
        </w:rPr>
        <w:t>t été maintes fois démontrée</w:t>
      </w:r>
      <w:r w:rsidR="009B20D8">
        <w:rPr>
          <w:b/>
        </w:rPr>
        <w:t>s</w:t>
      </w:r>
      <w:r w:rsidR="002469F9" w:rsidRPr="00500819">
        <w:rPr>
          <w:b/>
        </w:rPr>
        <w:t> »</w:t>
      </w:r>
      <w:r w:rsidR="0011634C">
        <w:rPr>
          <w:b/>
        </w:rPr>
        <w:t xml:space="preserve">, </w:t>
      </w:r>
      <w:r w:rsidR="00500819" w:rsidRPr="00500819">
        <w:rPr>
          <w:b/>
        </w:rPr>
        <w:t>ajoute Mme</w:t>
      </w:r>
      <w:r w:rsidR="0011634C">
        <w:rPr>
          <w:b/>
        </w:rPr>
        <w:t> </w:t>
      </w:r>
      <w:r w:rsidR="00500819" w:rsidRPr="00500819">
        <w:rPr>
          <w:b/>
        </w:rPr>
        <w:t>Cummings.</w:t>
      </w:r>
    </w:p>
    <w:p w:rsidR="00792B69" w:rsidRDefault="00F55B70" w:rsidP="00500819">
      <w:r>
        <w:t>Les heures d’accueil du centre seront</w:t>
      </w:r>
      <w:r w:rsidR="001313EB">
        <w:t xml:space="preserve"> notamment</w:t>
      </w:r>
      <w:r>
        <w:t xml:space="preserve"> r</w:t>
      </w:r>
      <w:r w:rsidR="001313EB">
        <w:t xml:space="preserve">éduites à 21 heures par semaine, réparties sur 4 jours, </w:t>
      </w:r>
      <w:r w:rsidRPr="001313EB">
        <w:t>à compter du 10 août 2015</w:t>
      </w:r>
      <w:r>
        <w:t xml:space="preserve">. </w:t>
      </w:r>
      <w:r w:rsidR="001313EB">
        <w:t xml:space="preserve">Outre l’accès plus limité au Centre, cette réduction aura également </w:t>
      </w:r>
      <w:r w:rsidR="0030598F">
        <w:t xml:space="preserve">comme impact une augmentation </w:t>
      </w:r>
      <w:r>
        <w:t>des délais pour l’obtention d’une réponse</w:t>
      </w:r>
      <w:r w:rsidR="005C4E9E">
        <w:t xml:space="preserve"> </w:t>
      </w:r>
      <w:r w:rsidR="001313EB">
        <w:t xml:space="preserve">aux demandes </w:t>
      </w:r>
      <w:r w:rsidR="0030598F">
        <w:t>des usagères et usagers.</w:t>
      </w:r>
    </w:p>
    <w:p w:rsidR="00500819" w:rsidRDefault="0030598F" w:rsidP="00500819">
      <w:r>
        <w:t xml:space="preserve"> Les </w:t>
      </w:r>
      <w:r w:rsidR="00F55B70">
        <w:t>abolitions de postes</w:t>
      </w:r>
      <w:r w:rsidR="000621E3">
        <w:t xml:space="preserve"> et </w:t>
      </w:r>
      <w:r w:rsidR="00F55B70">
        <w:t xml:space="preserve">la nécessité de réduire les coûts </w:t>
      </w:r>
      <w:r w:rsidR="00523EB6">
        <w:t>de fonctionnement</w:t>
      </w:r>
      <w:r w:rsidR="000621E3">
        <w:t xml:space="preserve"> forcent également</w:t>
      </w:r>
      <w:r w:rsidR="00523EB6">
        <w:t xml:space="preserve"> le CDÉACF</w:t>
      </w:r>
      <w:r w:rsidR="000621E3">
        <w:t xml:space="preserve"> à réduire</w:t>
      </w:r>
      <w:r w:rsidR="00500819">
        <w:t xml:space="preserve"> l’ensemble de ses services dont </w:t>
      </w:r>
      <w:r w:rsidR="00523EB6">
        <w:t>le</w:t>
      </w:r>
      <w:r w:rsidR="00500819">
        <w:t xml:space="preserve"> </w:t>
      </w:r>
      <w:r w:rsidR="00DC504B">
        <w:t xml:space="preserve">nombre de </w:t>
      </w:r>
      <w:r w:rsidR="00500819">
        <w:t>prêt</w:t>
      </w:r>
      <w:r w:rsidR="00DC504B">
        <w:t>s</w:t>
      </w:r>
      <w:r w:rsidR="00500819">
        <w:t xml:space="preserve"> à distance de </w:t>
      </w:r>
      <w:r w:rsidR="000621E3">
        <w:t>minib</w:t>
      </w:r>
      <w:r w:rsidR="002469F9">
        <w:t>ib</w:t>
      </w:r>
      <w:r w:rsidR="000621E3">
        <w:t>liothèques pour adultes apprenants et d’ensembles documentaires thématiques</w:t>
      </w:r>
      <w:r w:rsidR="00500819" w:rsidRPr="009708AA">
        <w:rPr>
          <w:b/>
        </w:rPr>
        <w:t>. « Ces</w:t>
      </w:r>
      <w:r w:rsidR="002469F9" w:rsidRPr="009708AA">
        <w:rPr>
          <w:b/>
        </w:rPr>
        <w:t xml:space="preserve"> deux services</w:t>
      </w:r>
      <w:r w:rsidR="000621E3" w:rsidRPr="009708AA">
        <w:rPr>
          <w:b/>
        </w:rPr>
        <w:t xml:space="preserve"> </w:t>
      </w:r>
      <w:r w:rsidR="00D06F4C" w:rsidRPr="009708AA">
        <w:rPr>
          <w:b/>
        </w:rPr>
        <w:t>sont particulière</w:t>
      </w:r>
      <w:r w:rsidR="008C3966" w:rsidRPr="009708AA">
        <w:rPr>
          <w:b/>
        </w:rPr>
        <w:t xml:space="preserve">ment </w:t>
      </w:r>
      <w:r w:rsidR="00500819" w:rsidRPr="009708AA">
        <w:rPr>
          <w:b/>
        </w:rPr>
        <w:t>importants pour les</w:t>
      </w:r>
      <w:r w:rsidR="008C3966" w:rsidRPr="009708AA">
        <w:rPr>
          <w:b/>
        </w:rPr>
        <w:t xml:space="preserve"> organismes et centres d’éducation des adultes situé</w:t>
      </w:r>
      <w:r w:rsidR="0011634C">
        <w:rPr>
          <w:b/>
        </w:rPr>
        <w:t xml:space="preserve">s </w:t>
      </w:r>
      <w:r w:rsidR="008C3966" w:rsidRPr="009708AA">
        <w:rPr>
          <w:b/>
        </w:rPr>
        <w:t>loin des grands centres urbains</w:t>
      </w:r>
      <w:r w:rsidR="00500819" w:rsidRPr="009708AA">
        <w:rPr>
          <w:b/>
        </w:rPr>
        <w:t xml:space="preserve"> pour qui il s’agit souvent de la seule ressource documentaire accessible »</w:t>
      </w:r>
      <w:r w:rsidR="0011634C">
        <w:rPr>
          <w:b/>
        </w:rPr>
        <w:t xml:space="preserve">, </w:t>
      </w:r>
      <w:r w:rsidR="00500819" w:rsidRPr="009708AA">
        <w:rPr>
          <w:b/>
        </w:rPr>
        <w:t>se désole Geneviève Dorais-Beauregard, directrice générale du CDÉACF. « Nous voulions éviter de pénaliser certaines usagères et certains usagers davantage que d’autres. C’est pourquoi nous avons opté pour des modifications à plusieurs services plutôt que pour l’arrêt complet de l’un d’entre eux</w:t>
      </w:r>
      <w:r w:rsidR="0011634C">
        <w:rPr>
          <w:b/>
        </w:rPr>
        <w:t xml:space="preserve"> », </w:t>
      </w:r>
      <w:r w:rsidR="00500819">
        <w:t xml:space="preserve">explique </w:t>
      </w:r>
      <w:r w:rsidR="00523EB6">
        <w:t>mme</w:t>
      </w:r>
      <w:r w:rsidR="00500819">
        <w:t xml:space="preserve"> Dorais-Beauregard</w:t>
      </w:r>
      <w:r w:rsidR="0011634C">
        <w:t>.</w:t>
      </w:r>
      <w:r w:rsidR="00500819">
        <w:t xml:space="preserve"> Ainsi, les activité</w:t>
      </w:r>
      <w:r w:rsidR="009708AA">
        <w:t>s</w:t>
      </w:r>
      <w:r w:rsidR="00500819">
        <w:t xml:space="preserve"> de veille et d’information, les formations sur les TIC ou encore les acquisitions de nouveaux documents seront également réduites.</w:t>
      </w:r>
    </w:p>
    <w:p w:rsidR="00500819" w:rsidRDefault="00500819"/>
    <w:p w:rsidR="00CB0A8F" w:rsidRDefault="00500819">
      <w:r>
        <w:lastRenderedPageBreak/>
        <w:t>Pour connaître l</w:t>
      </w:r>
      <w:r w:rsidR="009708AA">
        <w:t>es détails</w:t>
      </w:r>
      <w:r>
        <w:t xml:space="preserve"> des modifications de services, les usagères et usagers du Centre sont invités à visiter le site web de l’organisme :</w:t>
      </w:r>
      <w:r w:rsidR="0011634C">
        <w:t xml:space="preserve"> w</w:t>
      </w:r>
      <w:r>
        <w:t xml:space="preserve">ww.cdeacf.ca </w:t>
      </w:r>
    </w:p>
    <w:p w:rsidR="00CB0A8F" w:rsidRDefault="00C23825">
      <w:r>
        <w:t>Le</w:t>
      </w:r>
      <w:r w:rsidRPr="00C23825">
        <w:t xml:space="preserve"> Centre de documentation sur l’éducation des adultes et la condition féminine (CDÉACF) </w:t>
      </w:r>
      <w:r>
        <w:t>est un centre d’expertises et de documentation qui, depuis 1983,</w:t>
      </w:r>
      <w:r w:rsidRPr="00C23825">
        <w:t xml:space="preserve"> </w:t>
      </w:r>
      <w:r>
        <w:t>collecte, diffuse</w:t>
      </w:r>
      <w:r w:rsidR="0011634C">
        <w:t xml:space="preserve">, </w:t>
      </w:r>
      <w:r>
        <w:t>et rend</w:t>
      </w:r>
      <w:r w:rsidRPr="00C23825">
        <w:t xml:space="preserve"> accessibles, en français, les savoirs et les savoir-faire aux milieux de l</w:t>
      </w:r>
      <w:r w:rsidR="0011634C">
        <w:t>’</w:t>
      </w:r>
      <w:r w:rsidRPr="00C23825">
        <w:t>éducation, de la formation et de l’alphabétisation des adultes ainsi qu’à tous les milieux de la condition des femmes du Québec et des communautés francophones du Canada.</w:t>
      </w:r>
      <w:r>
        <w:t xml:space="preserve"> Il offre également à ces mêmes milieux des outils d’information d’avant-garde et des formations sur les TIC et la gestion documentaire.</w:t>
      </w:r>
    </w:p>
    <w:p w:rsidR="00C23825" w:rsidRDefault="00C23825" w:rsidP="00C23825">
      <w:pPr>
        <w:jc w:val="center"/>
        <w:rPr>
          <w:szCs w:val="20"/>
        </w:rPr>
      </w:pPr>
      <w:r>
        <w:rPr>
          <w:szCs w:val="20"/>
        </w:rPr>
        <w:t>-30 —</w:t>
      </w:r>
    </w:p>
    <w:p w:rsidR="00C23825" w:rsidRDefault="00C23825" w:rsidP="00C23825">
      <w:pPr>
        <w:spacing w:after="0"/>
        <w:rPr>
          <w:szCs w:val="20"/>
        </w:rPr>
      </w:pPr>
      <w:r>
        <w:rPr>
          <w:szCs w:val="20"/>
        </w:rPr>
        <w:br/>
      </w:r>
      <w:r w:rsidRPr="00815F60">
        <w:rPr>
          <w:b/>
          <w:szCs w:val="20"/>
        </w:rPr>
        <w:t>Pour informations</w:t>
      </w:r>
      <w:r>
        <w:rPr>
          <w:szCs w:val="20"/>
        </w:rPr>
        <w:t xml:space="preserve"> : </w:t>
      </w:r>
    </w:p>
    <w:p w:rsidR="00C23825" w:rsidRPr="008A31E5" w:rsidRDefault="00C23825" w:rsidP="00C23825">
      <w:pPr>
        <w:rPr>
          <w:szCs w:val="20"/>
        </w:rPr>
      </w:pPr>
      <w:r>
        <w:rPr>
          <w:szCs w:val="20"/>
        </w:rPr>
        <w:t xml:space="preserve">Geneviève Dorais-Beauregard, directrice générale, </w:t>
      </w:r>
      <w:hyperlink r:id="rId8" w:history="1">
        <w:r w:rsidRPr="0062216F">
          <w:rPr>
            <w:rStyle w:val="Lienhypertexte"/>
            <w:szCs w:val="20"/>
          </w:rPr>
          <w:t>doraisb@cdeacf.ca</w:t>
        </w:r>
      </w:hyperlink>
      <w:r w:rsidR="0011634C">
        <w:rPr>
          <w:szCs w:val="20"/>
        </w:rPr>
        <w:t xml:space="preserve">, 514 </w:t>
      </w:r>
      <w:r>
        <w:rPr>
          <w:szCs w:val="20"/>
        </w:rPr>
        <w:t>876-1180 #1203, cellulaire :</w:t>
      </w:r>
      <w:r w:rsidR="0011634C">
        <w:rPr>
          <w:szCs w:val="20"/>
        </w:rPr>
        <w:t xml:space="preserve"> 514 </w:t>
      </w:r>
      <w:r>
        <w:rPr>
          <w:szCs w:val="20"/>
        </w:rPr>
        <w:t>442</w:t>
      </w:r>
      <w:r w:rsidR="0011634C">
        <w:rPr>
          <w:szCs w:val="20"/>
        </w:rPr>
        <w:t>-</w:t>
      </w:r>
      <w:r>
        <w:rPr>
          <w:szCs w:val="20"/>
        </w:rPr>
        <w:t>2181 www.cdeacf.ca</w:t>
      </w:r>
    </w:p>
    <w:p w:rsidR="00CB0A8F" w:rsidRDefault="00CB0A8F">
      <w:pPr>
        <w:spacing w:after="120"/>
      </w:pPr>
    </w:p>
    <w:sectPr w:rsidR="00CB0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C5" w:rsidRDefault="00140AC5">
      <w:pPr>
        <w:spacing w:after="0" w:line="240" w:lineRule="auto"/>
      </w:pPr>
      <w:r>
        <w:separator/>
      </w:r>
    </w:p>
  </w:endnote>
  <w:endnote w:type="continuationSeparator" w:id="0">
    <w:p w:rsidR="00140AC5" w:rsidRDefault="0014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4C" w:rsidRDefault="001163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8F" w:rsidRDefault="00CB0A8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4C" w:rsidRDefault="001163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C5" w:rsidRDefault="00140AC5">
      <w:pPr>
        <w:spacing w:after="0" w:line="240" w:lineRule="auto"/>
      </w:pPr>
      <w:r>
        <w:separator/>
      </w:r>
    </w:p>
  </w:footnote>
  <w:footnote w:type="continuationSeparator" w:id="0">
    <w:p w:rsidR="00140AC5" w:rsidRDefault="0014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4C" w:rsidRDefault="001163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8F" w:rsidRDefault="00CB0A8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4C" w:rsidRDefault="001163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8F"/>
    <w:rsid w:val="00010C94"/>
    <w:rsid w:val="000621E3"/>
    <w:rsid w:val="00091584"/>
    <w:rsid w:val="000D3ECD"/>
    <w:rsid w:val="0011634C"/>
    <w:rsid w:val="001313EB"/>
    <w:rsid w:val="00140AC5"/>
    <w:rsid w:val="00197346"/>
    <w:rsid w:val="002469F9"/>
    <w:rsid w:val="002801F1"/>
    <w:rsid w:val="00293B62"/>
    <w:rsid w:val="002D08C6"/>
    <w:rsid w:val="0030598F"/>
    <w:rsid w:val="004A71AC"/>
    <w:rsid w:val="00500819"/>
    <w:rsid w:val="00523EB6"/>
    <w:rsid w:val="00536F45"/>
    <w:rsid w:val="00591319"/>
    <w:rsid w:val="005C4E9E"/>
    <w:rsid w:val="005F3815"/>
    <w:rsid w:val="00604FF9"/>
    <w:rsid w:val="006E1063"/>
    <w:rsid w:val="006E76F0"/>
    <w:rsid w:val="00705FA3"/>
    <w:rsid w:val="00726386"/>
    <w:rsid w:val="00792B69"/>
    <w:rsid w:val="007B6EDE"/>
    <w:rsid w:val="00845459"/>
    <w:rsid w:val="008C3966"/>
    <w:rsid w:val="008F7C24"/>
    <w:rsid w:val="009708AA"/>
    <w:rsid w:val="009B20D8"/>
    <w:rsid w:val="00A00BC2"/>
    <w:rsid w:val="00A17AE8"/>
    <w:rsid w:val="00B33BCC"/>
    <w:rsid w:val="00B5423E"/>
    <w:rsid w:val="00B644C8"/>
    <w:rsid w:val="00C23825"/>
    <w:rsid w:val="00CB0A8F"/>
    <w:rsid w:val="00D00B1F"/>
    <w:rsid w:val="00D06F4C"/>
    <w:rsid w:val="00D676A3"/>
    <w:rsid w:val="00DC504B"/>
    <w:rsid w:val="00E57608"/>
    <w:rsid w:val="00F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89"/>
    <w:pPr>
      <w:suppressAutoHyphens/>
      <w:spacing w:after="240" w:line="228" w:lineRule="auto"/>
    </w:pPr>
    <w:rPr>
      <w:rFonts w:ascii="Century Gothic" w:hAnsi="Century Gothic"/>
      <w:szCs w:val="22"/>
    </w:rPr>
  </w:style>
  <w:style w:type="paragraph" w:styleId="Titre1">
    <w:name w:val="heading 1"/>
    <w:basedOn w:val="Titre"/>
    <w:next w:val="Sous-titre"/>
    <w:link w:val="Titre1Car"/>
    <w:uiPriority w:val="9"/>
    <w:qFormat/>
    <w:rsid w:val="00135289"/>
    <w:pPr>
      <w:spacing w:after="480" w:line="439" w:lineRule="auto"/>
      <w:outlineLvl w:val="0"/>
    </w:pPr>
    <w:rPr>
      <w:rFonts w:ascii="Century Gothic" w:eastAsia="Times New Roman" w:hAnsi="Century Gothic"/>
      <w:bCs/>
      <w:caps/>
      <w:color w:val="253746"/>
      <w:sz w:val="42"/>
      <w:szCs w:val="32"/>
    </w:rPr>
  </w:style>
  <w:style w:type="paragraph" w:styleId="Titre2">
    <w:name w:val="heading 2"/>
    <w:basedOn w:val="Titre"/>
    <w:next w:val="Normal"/>
    <w:link w:val="Titre2Car"/>
    <w:uiPriority w:val="9"/>
    <w:unhideWhenUsed/>
    <w:qFormat/>
    <w:rsid w:val="00135289"/>
    <w:pPr>
      <w:spacing w:after="240" w:line="328" w:lineRule="auto"/>
      <w:outlineLvl w:val="1"/>
    </w:pPr>
    <w:rPr>
      <w:rFonts w:ascii="Century Gothic" w:eastAsia="Times New Roman" w:hAnsi="Century Gothic"/>
      <w:bCs/>
      <w:iCs/>
      <w:color w:val="253746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35289"/>
    <w:rPr>
      <w:rFonts w:ascii="Century Gothic" w:eastAsia="Times New Roman" w:hAnsi="Century Gothic"/>
      <w:bCs/>
      <w:caps/>
      <w:color w:val="253746"/>
      <w:sz w:val="42"/>
      <w:szCs w:val="32"/>
    </w:rPr>
  </w:style>
  <w:style w:type="character" w:customStyle="1" w:styleId="Sous-titreCar">
    <w:name w:val="Sous-titre Car"/>
    <w:uiPriority w:val="11"/>
    <w:rsid w:val="00135289"/>
    <w:rPr>
      <w:rFonts w:ascii="Century Gothic" w:hAnsi="Century Gothic"/>
      <w:caps/>
      <w:sz w:val="26"/>
      <w:szCs w:val="24"/>
    </w:rPr>
  </w:style>
  <w:style w:type="character" w:customStyle="1" w:styleId="Titre2Car">
    <w:name w:val="Titre 2 Car"/>
    <w:link w:val="Titre2"/>
    <w:uiPriority w:val="9"/>
    <w:rsid w:val="00135289"/>
    <w:rPr>
      <w:rFonts w:ascii="Century Gothic" w:eastAsia="Times New Roman" w:hAnsi="Century Gothic"/>
      <w:bCs/>
      <w:iCs/>
      <w:color w:val="253746"/>
      <w:sz w:val="30"/>
      <w:szCs w:val="28"/>
    </w:rPr>
  </w:style>
  <w:style w:type="character" w:styleId="Rfrenceple">
    <w:name w:val="Subtle Reference"/>
    <w:uiPriority w:val="31"/>
    <w:qFormat/>
    <w:rsid w:val="00135289"/>
    <w:rPr>
      <w:rFonts w:ascii="Century Gothic" w:hAnsi="Century Gothic"/>
      <w:b w:val="0"/>
      <w:i w:val="0"/>
      <w:caps w:val="0"/>
      <w:smallCaps w:val="0"/>
      <w:color w:val="0000FF"/>
      <w:sz w:val="20"/>
      <w:u w:val="single"/>
    </w:rPr>
  </w:style>
  <w:style w:type="character" w:customStyle="1" w:styleId="En-tteCar">
    <w:name w:val="En-tête Car"/>
    <w:basedOn w:val="Policepardfaut"/>
    <w:uiPriority w:val="99"/>
    <w:rsid w:val="001D7E74"/>
    <w:rPr>
      <w:rFonts w:ascii="Century Gothic" w:hAnsi="Century Gothic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D7E74"/>
    <w:rPr>
      <w:rFonts w:ascii="Century Gothic" w:hAnsi="Century Gothic"/>
      <w:szCs w:val="22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ous-titre">
    <w:name w:val="Subtitle"/>
    <w:basedOn w:val="Titre"/>
    <w:next w:val="Normal"/>
    <w:uiPriority w:val="11"/>
    <w:qFormat/>
    <w:rsid w:val="00135289"/>
    <w:pPr>
      <w:spacing w:after="240" w:line="288" w:lineRule="auto"/>
      <w:outlineLvl w:val="1"/>
    </w:pPr>
    <w:rPr>
      <w:rFonts w:ascii="Century Gothic" w:hAnsi="Century Gothic"/>
      <w:caps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135289"/>
  </w:style>
  <w:style w:type="paragraph" w:styleId="En-tte">
    <w:name w:val="header"/>
    <w:basedOn w:val="Normal"/>
    <w:uiPriority w:val="99"/>
    <w:unhideWhenUsed/>
    <w:rsid w:val="001D7E74"/>
    <w:pPr>
      <w:tabs>
        <w:tab w:val="center" w:pos="4320"/>
        <w:tab w:val="right" w:pos="864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D7E74"/>
    <w:pPr>
      <w:tabs>
        <w:tab w:val="center" w:pos="4320"/>
        <w:tab w:val="right" w:pos="864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23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89"/>
    <w:pPr>
      <w:suppressAutoHyphens/>
      <w:spacing w:after="240" w:line="228" w:lineRule="auto"/>
    </w:pPr>
    <w:rPr>
      <w:rFonts w:ascii="Century Gothic" w:hAnsi="Century Gothic"/>
      <w:szCs w:val="22"/>
    </w:rPr>
  </w:style>
  <w:style w:type="paragraph" w:styleId="Titre1">
    <w:name w:val="heading 1"/>
    <w:basedOn w:val="Titre"/>
    <w:next w:val="Sous-titre"/>
    <w:link w:val="Titre1Car"/>
    <w:uiPriority w:val="9"/>
    <w:qFormat/>
    <w:rsid w:val="00135289"/>
    <w:pPr>
      <w:spacing w:after="480" w:line="439" w:lineRule="auto"/>
      <w:outlineLvl w:val="0"/>
    </w:pPr>
    <w:rPr>
      <w:rFonts w:ascii="Century Gothic" w:eastAsia="Times New Roman" w:hAnsi="Century Gothic"/>
      <w:bCs/>
      <w:caps/>
      <w:color w:val="253746"/>
      <w:sz w:val="42"/>
      <w:szCs w:val="32"/>
    </w:rPr>
  </w:style>
  <w:style w:type="paragraph" w:styleId="Titre2">
    <w:name w:val="heading 2"/>
    <w:basedOn w:val="Titre"/>
    <w:next w:val="Normal"/>
    <w:link w:val="Titre2Car"/>
    <w:uiPriority w:val="9"/>
    <w:unhideWhenUsed/>
    <w:qFormat/>
    <w:rsid w:val="00135289"/>
    <w:pPr>
      <w:spacing w:after="240" w:line="328" w:lineRule="auto"/>
      <w:outlineLvl w:val="1"/>
    </w:pPr>
    <w:rPr>
      <w:rFonts w:ascii="Century Gothic" w:eastAsia="Times New Roman" w:hAnsi="Century Gothic"/>
      <w:bCs/>
      <w:iCs/>
      <w:color w:val="253746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35289"/>
    <w:rPr>
      <w:rFonts w:ascii="Century Gothic" w:eastAsia="Times New Roman" w:hAnsi="Century Gothic"/>
      <w:bCs/>
      <w:caps/>
      <w:color w:val="253746"/>
      <w:sz w:val="42"/>
      <w:szCs w:val="32"/>
    </w:rPr>
  </w:style>
  <w:style w:type="character" w:customStyle="1" w:styleId="Sous-titreCar">
    <w:name w:val="Sous-titre Car"/>
    <w:uiPriority w:val="11"/>
    <w:rsid w:val="00135289"/>
    <w:rPr>
      <w:rFonts w:ascii="Century Gothic" w:hAnsi="Century Gothic"/>
      <w:caps/>
      <w:sz w:val="26"/>
      <w:szCs w:val="24"/>
    </w:rPr>
  </w:style>
  <w:style w:type="character" w:customStyle="1" w:styleId="Titre2Car">
    <w:name w:val="Titre 2 Car"/>
    <w:link w:val="Titre2"/>
    <w:uiPriority w:val="9"/>
    <w:rsid w:val="00135289"/>
    <w:rPr>
      <w:rFonts w:ascii="Century Gothic" w:eastAsia="Times New Roman" w:hAnsi="Century Gothic"/>
      <w:bCs/>
      <w:iCs/>
      <w:color w:val="253746"/>
      <w:sz w:val="30"/>
      <w:szCs w:val="28"/>
    </w:rPr>
  </w:style>
  <w:style w:type="character" w:styleId="Rfrenceple">
    <w:name w:val="Subtle Reference"/>
    <w:uiPriority w:val="31"/>
    <w:qFormat/>
    <w:rsid w:val="00135289"/>
    <w:rPr>
      <w:rFonts w:ascii="Century Gothic" w:hAnsi="Century Gothic"/>
      <w:b w:val="0"/>
      <w:i w:val="0"/>
      <w:caps w:val="0"/>
      <w:smallCaps w:val="0"/>
      <w:color w:val="0000FF"/>
      <w:sz w:val="20"/>
      <w:u w:val="single"/>
    </w:rPr>
  </w:style>
  <w:style w:type="character" w:customStyle="1" w:styleId="En-tteCar">
    <w:name w:val="En-tête Car"/>
    <w:basedOn w:val="Policepardfaut"/>
    <w:uiPriority w:val="99"/>
    <w:rsid w:val="001D7E74"/>
    <w:rPr>
      <w:rFonts w:ascii="Century Gothic" w:hAnsi="Century Gothic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D7E74"/>
    <w:rPr>
      <w:rFonts w:ascii="Century Gothic" w:hAnsi="Century Gothic"/>
      <w:szCs w:val="22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ous-titre">
    <w:name w:val="Subtitle"/>
    <w:basedOn w:val="Titre"/>
    <w:next w:val="Normal"/>
    <w:uiPriority w:val="11"/>
    <w:qFormat/>
    <w:rsid w:val="00135289"/>
    <w:pPr>
      <w:spacing w:after="240" w:line="288" w:lineRule="auto"/>
      <w:outlineLvl w:val="1"/>
    </w:pPr>
    <w:rPr>
      <w:rFonts w:ascii="Century Gothic" w:hAnsi="Century Gothic"/>
      <w:caps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135289"/>
  </w:style>
  <w:style w:type="paragraph" w:styleId="En-tte">
    <w:name w:val="header"/>
    <w:basedOn w:val="Normal"/>
    <w:uiPriority w:val="99"/>
    <w:unhideWhenUsed/>
    <w:rsid w:val="001D7E74"/>
    <w:pPr>
      <w:tabs>
        <w:tab w:val="center" w:pos="4320"/>
        <w:tab w:val="right" w:pos="864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D7E74"/>
    <w:pPr>
      <w:tabs>
        <w:tab w:val="center" w:pos="4320"/>
        <w:tab w:val="right" w:pos="864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2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isb@cdeacf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dorais</dc:creator>
  <cp:lastModifiedBy>dorais</cp:lastModifiedBy>
  <cp:revision>12</cp:revision>
  <cp:lastPrinted>2015-08-05T17:57:00Z</cp:lastPrinted>
  <dcterms:created xsi:type="dcterms:W3CDTF">2015-07-31T15:18:00Z</dcterms:created>
  <dcterms:modified xsi:type="dcterms:W3CDTF">2015-08-06T17:38:00Z</dcterms:modified>
  <dc:language>fr-CA</dc:language>
</cp:coreProperties>
</file>